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5" w:type="dxa"/>
        <w:tblLayout w:type="fixed"/>
        <w:tblLook w:val="04A0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  <w:bookmarkStart w:id="0" w:name="_GoBack"/>
        <w:bookmarkEnd w:id="0"/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41" w:rsidRDefault="00130741" w:rsidP="00690F67">
      <w:pPr>
        <w:spacing w:after="0" w:line="240" w:lineRule="auto"/>
      </w:pPr>
      <w:r>
        <w:separator/>
      </w:r>
    </w:p>
  </w:endnote>
  <w:endnote w:type="continuationSeparator" w:id="0">
    <w:p w:rsidR="00130741" w:rsidRDefault="00130741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13917"/>
      <w:docPartObj>
        <w:docPartGallery w:val="Page Numbers (Bottom of Page)"/>
        <w:docPartUnique/>
      </w:docPartObj>
    </w:sdtPr>
    <w:sdtContent>
      <w:p w:rsidR="00775D82" w:rsidRDefault="0063693B">
        <w:pPr>
          <w:pStyle w:val="Piedepgina"/>
          <w:jc w:val="right"/>
        </w:pPr>
        <w:r>
          <w:fldChar w:fldCharType="begin"/>
        </w:r>
        <w:r w:rsidR="00775D82">
          <w:instrText>PAGE   \* MERGEFORMAT</w:instrText>
        </w:r>
        <w:r>
          <w:fldChar w:fldCharType="separate"/>
        </w:r>
        <w:r w:rsidR="00130741" w:rsidRPr="00130741">
          <w:rPr>
            <w:noProof/>
            <w:lang w:val="es-ES"/>
          </w:rPr>
          <w:t>1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41" w:rsidRDefault="00130741" w:rsidP="00690F67">
      <w:pPr>
        <w:spacing w:after="0" w:line="240" w:lineRule="auto"/>
      </w:pPr>
      <w:r>
        <w:separator/>
      </w:r>
    </w:p>
  </w:footnote>
  <w:footnote w:type="continuationSeparator" w:id="0">
    <w:p w:rsidR="00130741" w:rsidRDefault="00130741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63693B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 w:rsidRPr="0063693B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156.9pt;margin-top:-71.95pt;width:317.85pt;height:78.5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<v:textbox>
            <w:txbxContent>
              <w:p w:rsidR="001D40C3" w:rsidRPr="008C085B" w:rsidRDefault="001D40C3" w:rsidP="00616A08">
                <w:pPr>
                  <w:spacing w:after="0" w:line="240" w:lineRule="auto"/>
                  <w:rPr>
                    <w:rFonts w:ascii="Soberana Titular" w:hAnsi="Soberana Titular"/>
                    <w:color w:val="FFFFFF" w:themeColor="background1"/>
                    <w:sz w:val="18"/>
                    <w:szCs w:val="18"/>
                  </w:rPr>
                </w:pPr>
              </w:p>
              <w:p w:rsidR="001D40C3" w:rsidRPr="008C085B" w:rsidRDefault="001D40C3" w:rsidP="005E176D">
                <w:pPr>
                  <w:spacing w:after="0" w:line="240" w:lineRule="auto"/>
                  <w:jc w:val="center"/>
                  <w:rPr>
                    <w:rFonts w:ascii="Soberana Titular" w:hAnsi="Soberana Titular"/>
                    <w:color w:val="FFFFFF" w:themeColor="background1"/>
                    <w:sz w:val="18"/>
                    <w:szCs w:val="18"/>
                  </w:rPr>
                </w:pPr>
                <w:r w:rsidRPr="008C085B">
                  <w:rPr>
                    <w:rFonts w:ascii="Soberana Titular" w:hAnsi="Soberana Titular"/>
                    <w:color w:val="FFFFFF" w:themeColor="background1"/>
                    <w:sz w:val="18"/>
                    <w:szCs w:val="18"/>
                  </w:rPr>
                  <w:t>Guía Técnica de Servicios Complementarios del Tecnológico Nacional de México</w:t>
                </w:r>
              </w:p>
              <w:p w:rsidR="001D40C3" w:rsidRPr="00B970D5" w:rsidRDefault="001D40C3" w:rsidP="0029457B">
                <w:pPr>
                  <w:spacing w:after="0" w:line="240" w:lineRule="auto"/>
                  <w:jc w:val="center"/>
                  <w:rPr>
                    <w:rFonts w:ascii="Soberana Titular" w:hAnsi="Soberana Titular"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0741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3693B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25D4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7E4D-1665-4761-A1E5-A8C4E822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2018-05-16T21:39:00Z</cp:lastPrinted>
  <dcterms:created xsi:type="dcterms:W3CDTF">2019-06-27T18:20:00Z</dcterms:created>
  <dcterms:modified xsi:type="dcterms:W3CDTF">2019-06-27T18:20:00Z</dcterms:modified>
</cp:coreProperties>
</file>